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6" w:rsidRDefault="009B54D6" w:rsidP="009B54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МУНИЦИПАЛЬНОЕ ОБРАЗОВАНИЕ</w:t>
      </w:r>
    </w:p>
    <w:p w:rsidR="009B54D6" w:rsidRDefault="009B54D6" w:rsidP="009B54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«</w:t>
      </w:r>
      <w:r>
        <w:rPr>
          <w:rFonts w:ascii="Arial" w:hAnsi="Arial" w:cs="Arial"/>
          <w:b/>
          <w:sz w:val="24"/>
        </w:rPr>
        <w:t>СПАС</w:t>
      </w:r>
      <w:r>
        <w:rPr>
          <w:rFonts w:ascii="Arial" w:hAnsi="Arial" w:cs="Arial"/>
          <w:b/>
          <w:sz w:val="24"/>
        </w:rPr>
        <w:t>КОЕ СЕЛЬСКОЕ ПОСЕЛЕНИЕ»</w:t>
      </w:r>
    </w:p>
    <w:p w:rsidR="009B54D6" w:rsidRDefault="009B54D6" w:rsidP="009B54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 СПАС</w:t>
      </w:r>
      <w:r>
        <w:rPr>
          <w:rFonts w:ascii="Arial" w:hAnsi="Arial" w:cs="Arial"/>
          <w:b/>
          <w:sz w:val="24"/>
        </w:rPr>
        <w:t>СКОГО СЕЛЬСКОГО ПОСЕЛЕНИЯ</w:t>
      </w:r>
    </w:p>
    <w:p w:rsidR="009B54D6" w:rsidRDefault="009B54D6" w:rsidP="009B54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РАСПОРЯЖЕНИЕ</w:t>
      </w:r>
    </w:p>
    <w:p w:rsidR="009B54D6" w:rsidRDefault="009B54D6" w:rsidP="009B54D6">
      <w:pPr>
        <w:jc w:val="center"/>
        <w:rPr>
          <w:rFonts w:ascii="Arial" w:hAnsi="Arial" w:cs="Arial"/>
          <w:sz w:val="24"/>
        </w:rPr>
      </w:pPr>
    </w:p>
    <w:p w:rsidR="009B54D6" w:rsidRDefault="009B54D6" w:rsidP="009B54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 ноября</w:t>
      </w:r>
      <w:r>
        <w:rPr>
          <w:rFonts w:ascii="Arial" w:hAnsi="Arial" w:cs="Arial"/>
          <w:sz w:val="24"/>
        </w:rPr>
        <w:t xml:space="preserve"> 2019 г.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</w:t>
      </w:r>
      <w:r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№  </w:t>
      </w:r>
      <w:r w:rsidR="00050CD9">
        <w:rPr>
          <w:rFonts w:ascii="Arial" w:hAnsi="Arial" w:cs="Arial"/>
          <w:sz w:val="24"/>
        </w:rPr>
        <w:t>144</w:t>
      </w:r>
    </w:p>
    <w:p w:rsidR="009B54D6" w:rsidRDefault="009B54D6" w:rsidP="009B54D6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</w:t>
      </w:r>
      <w:proofErr w:type="gramStart"/>
      <w:r>
        <w:rPr>
          <w:rFonts w:ascii="Arial" w:hAnsi="Arial" w:cs="Arial"/>
          <w:sz w:val="24"/>
        </w:rPr>
        <w:t>.В</w:t>
      </w:r>
      <w:proofErr w:type="gramEnd"/>
      <w:r>
        <w:rPr>
          <w:rFonts w:ascii="Arial" w:hAnsi="Arial" w:cs="Arial"/>
          <w:sz w:val="24"/>
        </w:rPr>
        <w:t>ершинино</w:t>
      </w:r>
      <w:proofErr w:type="spellEnd"/>
    </w:p>
    <w:p w:rsidR="009B54D6" w:rsidRDefault="009B54D6" w:rsidP="009B54D6">
      <w:pPr>
        <w:spacing w:after="120" w:line="240" w:lineRule="auto"/>
        <w:jc w:val="center"/>
        <w:rPr>
          <w:rFonts w:ascii="Times New Roman"/>
          <w:b/>
          <w:sz w:val="28"/>
        </w:rPr>
      </w:pPr>
    </w:p>
    <w:p w:rsidR="009B54D6" w:rsidRPr="009B54D6" w:rsidRDefault="009B54D6" w:rsidP="009B54D6">
      <w:pPr>
        <w:pStyle w:val="ConsPlusTitle"/>
        <w:ind w:right="3967"/>
        <w:jc w:val="both"/>
        <w:rPr>
          <w:rFonts w:ascii="Times New Roman" w:hAnsi="Times New Roman"/>
          <w:b w:val="0"/>
          <w:sz w:val="24"/>
          <w:szCs w:val="24"/>
        </w:rPr>
      </w:pPr>
      <w:r w:rsidRPr="009B54D6">
        <w:rPr>
          <w:rFonts w:ascii="Times New Roman" w:hAnsi="Times New Roman"/>
          <w:b w:val="0"/>
          <w:sz w:val="24"/>
          <w:szCs w:val="24"/>
        </w:rPr>
        <w:t>Об утверждении плана мероприятий (плана-график</w:t>
      </w:r>
      <w:r w:rsidRPr="009B54D6">
        <w:rPr>
          <w:rFonts w:ascii="Times New Roman" w:hAnsi="Times New Roman"/>
          <w:b w:val="0"/>
          <w:sz w:val="24"/>
          <w:szCs w:val="24"/>
        </w:rPr>
        <w:t>а) перехода Администрации Спас</w:t>
      </w:r>
      <w:r w:rsidRPr="009B54D6">
        <w:rPr>
          <w:rFonts w:ascii="Times New Roman" w:hAnsi="Times New Roman"/>
          <w:b w:val="0"/>
          <w:sz w:val="24"/>
          <w:szCs w:val="24"/>
        </w:rPr>
        <w:t>ского сельского поселения на использование отечественного офисного программного обеспечения</w:t>
      </w:r>
    </w:p>
    <w:p w:rsidR="009B54D6" w:rsidRDefault="009B54D6" w:rsidP="009B54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54D6" w:rsidRP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4D6">
        <w:rPr>
          <w:rFonts w:ascii="Times New Roman" w:hAnsi="Times New Roman"/>
          <w:sz w:val="24"/>
          <w:szCs w:val="24"/>
        </w:rPr>
        <w:t xml:space="preserve">В целях исполнения Доктрины информационной безопасности Российской Федерации, утвержденной </w:t>
      </w:r>
      <w:hyperlink r:id="rId5" w:history="1">
        <w:r w:rsidRPr="009B54D6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9B54D6">
        <w:rPr>
          <w:rFonts w:ascii="Times New Roman" w:hAnsi="Times New Roman"/>
          <w:sz w:val="24"/>
          <w:szCs w:val="24"/>
        </w:rPr>
        <w:t xml:space="preserve"> Президента Российской Федерации от 05.12.2016 № 646, Стратегии развития информационного общества в Российской Федерации на 2017 - 2030 годы, утвержденной Указом Президента Российской Федерации от 09.05.2017 № 203, Плана перехода в 2016 - 2018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утвержденного Распоряжением Правительства Российской Федерации</w:t>
      </w:r>
      <w:proofErr w:type="gramEnd"/>
      <w:r w:rsidRPr="009B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4D6">
        <w:rPr>
          <w:rFonts w:ascii="Times New Roman" w:hAnsi="Times New Roman"/>
          <w:sz w:val="24"/>
          <w:szCs w:val="24"/>
        </w:rPr>
        <w:t xml:space="preserve">от 26.07.2016 № 1588-р, в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обеспечения, утвержденными Приказом </w:t>
      </w:r>
      <w:proofErr w:type="spellStart"/>
      <w:r w:rsidRPr="009B54D6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9B54D6">
        <w:rPr>
          <w:rFonts w:ascii="Times New Roman" w:hAnsi="Times New Roman"/>
          <w:sz w:val="24"/>
          <w:szCs w:val="24"/>
        </w:rPr>
        <w:t xml:space="preserve"> России от 04.07.2018 № 335 (далее - приказ </w:t>
      </w:r>
      <w:proofErr w:type="spellStart"/>
      <w:r w:rsidRPr="009B54D6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9B54D6">
        <w:rPr>
          <w:rFonts w:ascii="Times New Roman" w:hAnsi="Times New Roman"/>
          <w:sz w:val="24"/>
          <w:szCs w:val="24"/>
        </w:rPr>
        <w:t xml:space="preserve"> № 335), в целях обеспечения комплексного подхода по обеспечению перехода на использование отечественного</w:t>
      </w:r>
      <w:proofErr w:type="gramEnd"/>
      <w:r w:rsidRPr="009B54D6">
        <w:rPr>
          <w:rFonts w:ascii="Times New Roman" w:hAnsi="Times New Roman"/>
          <w:sz w:val="24"/>
          <w:szCs w:val="24"/>
        </w:rPr>
        <w:t xml:space="preserve"> офисного программного обеспечения,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54D6" w:rsidRPr="00050CD9" w:rsidRDefault="009B54D6" w:rsidP="009B54D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0CD9">
        <w:rPr>
          <w:rFonts w:ascii="Times New Roman" w:hAnsi="Times New Roman"/>
          <w:b/>
          <w:sz w:val="24"/>
          <w:szCs w:val="24"/>
        </w:rPr>
        <w:t>предлагаю</w:t>
      </w:r>
      <w:r w:rsidRPr="00050CD9">
        <w:rPr>
          <w:rFonts w:ascii="Times New Roman" w:hAnsi="Times New Roman"/>
          <w:b/>
          <w:sz w:val="24"/>
          <w:szCs w:val="24"/>
        </w:rPr>
        <w:t>:</w:t>
      </w:r>
    </w:p>
    <w:p w:rsidR="009B54D6" w:rsidRPr="00050CD9" w:rsidRDefault="009B54D6" w:rsidP="009B54D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54D6" w:rsidRPr="00050CD9" w:rsidRDefault="009B54D6" w:rsidP="009B54D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50CD9">
        <w:rPr>
          <w:rFonts w:ascii="Times New Roman" w:hAnsi="Times New Roman"/>
          <w:sz w:val="24"/>
          <w:szCs w:val="24"/>
        </w:rPr>
        <w:t xml:space="preserve">1. Утвердить </w:t>
      </w:r>
      <w:hyperlink r:id="rId6" w:anchor="P36" w:history="1">
        <w:r w:rsidRPr="00050CD9">
          <w:rPr>
            <w:rStyle w:val="a3"/>
            <w:rFonts w:ascii="Times New Roman" w:hAnsi="Times New Roman"/>
            <w:color w:val="auto"/>
            <w:sz w:val="24"/>
            <w:szCs w:val="24"/>
          </w:rPr>
          <w:t>план</w:t>
        </w:r>
      </w:hyperlink>
      <w:r w:rsidRPr="00050CD9">
        <w:rPr>
          <w:rFonts w:ascii="Times New Roman" w:hAnsi="Times New Roman"/>
          <w:sz w:val="24"/>
          <w:szCs w:val="24"/>
        </w:rPr>
        <w:t xml:space="preserve"> мероприятий (план-графи</w:t>
      </w:r>
      <w:r w:rsidRPr="00050CD9">
        <w:rPr>
          <w:rFonts w:ascii="Times New Roman" w:hAnsi="Times New Roman"/>
          <w:sz w:val="24"/>
          <w:szCs w:val="24"/>
        </w:rPr>
        <w:t>к) перехода Администрации Спас</w:t>
      </w:r>
      <w:r w:rsidRPr="00050CD9">
        <w:rPr>
          <w:rFonts w:ascii="Times New Roman" w:hAnsi="Times New Roman"/>
          <w:sz w:val="24"/>
          <w:szCs w:val="24"/>
        </w:rPr>
        <w:t>ского сельского поселения на использование отечественного офисного программного обеспечения согласно приложению к настоящему распоряжению.</w:t>
      </w:r>
    </w:p>
    <w:p w:rsidR="009B54D6" w:rsidRPr="00050CD9" w:rsidRDefault="009B54D6" w:rsidP="009B54D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50CD9">
        <w:rPr>
          <w:rFonts w:ascii="Times New Roman" w:hAnsi="Times New Roman"/>
          <w:sz w:val="24"/>
          <w:szCs w:val="24"/>
        </w:rPr>
        <w:t>2. Определить Управляющего Делами Администрации Спас</w:t>
      </w:r>
      <w:r w:rsidRPr="00050CD9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proofErr w:type="gramStart"/>
      <w:r w:rsidRPr="00050CD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50CD9">
        <w:rPr>
          <w:rFonts w:ascii="Times New Roman" w:hAnsi="Times New Roman"/>
          <w:sz w:val="24"/>
          <w:szCs w:val="24"/>
        </w:rPr>
        <w:t xml:space="preserve"> за координацию мероприятий по переходу Адм</w:t>
      </w:r>
      <w:r w:rsidRPr="00050CD9">
        <w:rPr>
          <w:rFonts w:ascii="Times New Roman" w:hAnsi="Times New Roman"/>
          <w:sz w:val="24"/>
          <w:szCs w:val="24"/>
        </w:rPr>
        <w:t>инистрации Спас</w:t>
      </w:r>
      <w:r w:rsidRPr="00050CD9">
        <w:rPr>
          <w:rFonts w:ascii="Times New Roman" w:hAnsi="Times New Roman"/>
          <w:sz w:val="24"/>
          <w:szCs w:val="24"/>
        </w:rPr>
        <w:t>ского сельского поселения на использование отечественного офисного программного обеспечения.</w:t>
      </w:r>
    </w:p>
    <w:p w:rsidR="009B54D6" w:rsidRPr="00050CD9" w:rsidRDefault="009B54D6" w:rsidP="009B54D6">
      <w:pPr>
        <w:pStyle w:val="ConsPlusNormal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050CD9">
        <w:rPr>
          <w:rFonts w:ascii="Times New Roman" w:hAnsi="Times New Roman"/>
          <w:color w:val="auto"/>
          <w:sz w:val="24"/>
          <w:szCs w:val="24"/>
        </w:rPr>
        <w:t>3. </w:t>
      </w:r>
      <w:proofErr w:type="gramStart"/>
      <w:r w:rsidRPr="00050CD9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Pr="00050CD9">
        <w:rPr>
          <w:rFonts w:ascii="Times New Roman" w:hAnsi="Times New Roman"/>
          <w:color w:val="auto"/>
          <w:sz w:val="24"/>
          <w:szCs w:val="24"/>
        </w:rPr>
        <w:t xml:space="preserve"> настоящее распоряжение на официальном сайте му</w:t>
      </w:r>
      <w:r w:rsidRPr="00050CD9">
        <w:rPr>
          <w:rFonts w:ascii="Times New Roman" w:hAnsi="Times New Roman"/>
          <w:color w:val="auto"/>
          <w:sz w:val="24"/>
          <w:szCs w:val="24"/>
        </w:rPr>
        <w:t>ниципального образования «Спас</w:t>
      </w:r>
      <w:r w:rsidRPr="00050CD9">
        <w:rPr>
          <w:rFonts w:ascii="Times New Roman" w:hAnsi="Times New Roman"/>
          <w:color w:val="auto"/>
          <w:sz w:val="24"/>
          <w:szCs w:val="24"/>
        </w:rPr>
        <w:t>ское сельское поселение» в информационно-телекоммуникационной сети «Интернет».</w:t>
      </w:r>
    </w:p>
    <w:p w:rsidR="009B54D6" w:rsidRPr="00050CD9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50CD9">
        <w:rPr>
          <w:rFonts w:ascii="Times New Roman" w:hAnsi="Times New Roman"/>
          <w:sz w:val="24"/>
          <w:szCs w:val="24"/>
        </w:rPr>
        <w:t>4. </w:t>
      </w:r>
      <w:proofErr w:type="gramStart"/>
      <w:r w:rsidRPr="00050C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0CD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B54D6" w:rsidRPr="00050CD9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12"/>
        <w:gridCol w:w="4257"/>
      </w:tblGrid>
      <w:tr w:rsidR="009B54D6" w:rsidRPr="00050CD9" w:rsidTr="009B54D6">
        <w:trPr>
          <w:trHeight w:val="64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4D6" w:rsidRPr="00050CD9" w:rsidRDefault="009B54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50CD9">
              <w:rPr>
                <w:rFonts w:ascii="Times New Roman"/>
                <w:sz w:val="24"/>
                <w:szCs w:val="24"/>
              </w:rPr>
              <w:t>Временное исполнение полномочий</w:t>
            </w:r>
          </w:p>
          <w:p w:rsidR="009B54D6" w:rsidRPr="00050CD9" w:rsidRDefault="009B54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/>
                <w:i/>
                <w:sz w:val="24"/>
                <w:szCs w:val="24"/>
                <w:highlight w:val="yellow"/>
              </w:rPr>
            </w:pPr>
            <w:r w:rsidRPr="00050CD9">
              <w:rPr>
                <w:rFonts w:ascii="Times New Roman"/>
                <w:sz w:val="24"/>
                <w:szCs w:val="24"/>
              </w:rPr>
              <w:t>Главы Спас</w:t>
            </w:r>
            <w:r w:rsidRPr="00050CD9">
              <w:rPr>
                <w:rFonts w:ascii="Times New Roman"/>
                <w:sz w:val="24"/>
                <w:szCs w:val="24"/>
              </w:rPr>
              <w:t>ского поселения</w:t>
            </w:r>
            <w:r w:rsidRPr="00050CD9">
              <w:rPr>
                <w:rFonts w:ascii="Times New Roman"/>
                <w:sz w:val="24"/>
                <w:szCs w:val="24"/>
              </w:rPr>
              <w:t xml:space="preserve"> (Главы Администрации)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4D6" w:rsidRPr="00050CD9" w:rsidRDefault="009B54D6">
            <w:pPr>
              <w:tabs>
                <w:tab w:val="center" w:pos="4677"/>
                <w:tab w:val="right" w:pos="9355"/>
              </w:tabs>
              <w:spacing w:after="0" w:line="240" w:lineRule="auto"/>
              <w:ind w:right="344"/>
              <w:contextualSpacing/>
              <w:jc w:val="right"/>
              <w:rPr>
                <w:rFonts w:ascii="Times New Roman"/>
                <w:sz w:val="24"/>
                <w:szCs w:val="24"/>
              </w:rPr>
            </w:pPr>
          </w:p>
          <w:p w:rsidR="009B54D6" w:rsidRPr="00050CD9" w:rsidRDefault="009B54D6">
            <w:pPr>
              <w:tabs>
                <w:tab w:val="center" w:pos="4677"/>
                <w:tab w:val="right" w:pos="9355"/>
              </w:tabs>
              <w:spacing w:after="0" w:line="240" w:lineRule="auto"/>
              <w:ind w:right="344"/>
              <w:contextualSpacing/>
              <w:jc w:val="right"/>
              <w:rPr>
                <w:rFonts w:ascii="Times New Roman"/>
                <w:sz w:val="24"/>
                <w:szCs w:val="24"/>
              </w:rPr>
            </w:pPr>
          </w:p>
          <w:p w:rsidR="009B54D6" w:rsidRPr="00050CD9" w:rsidRDefault="009B54D6">
            <w:pPr>
              <w:tabs>
                <w:tab w:val="center" w:pos="4677"/>
                <w:tab w:val="right" w:pos="9355"/>
              </w:tabs>
              <w:spacing w:after="0" w:line="240" w:lineRule="auto"/>
              <w:ind w:right="344"/>
              <w:contextualSpacing/>
              <w:jc w:val="right"/>
              <w:rPr>
                <w:rFonts w:ascii="Times New Roman"/>
                <w:sz w:val="24"/>
                <w:szCs w:val="24"/>
              </w:rPr>
            </w:pPr>
            <w:r w:rsidRPr="00050CD9">
              <w:rPr>
                <w:rFonts w:ascii="Times New Roman"/>
                <w:sz w:val="24"/>
                <w:szCs w:val="24"/>
              </w:rPr>
              <w:t xml:space="preserve">Е.А. </w:t>
            </w:r>
            <w:proofErr w:type="spellStart"/>
            <w:r w:rsidRPr="00050CD9">
              <w:rPr>
                <w:rFonts w:ascii="Times New Roman"/>
                <w:sz w:val="24"/>
                <w:szCs w:val="24"/>
              </w:rPr>
              <w:t>Лущеко</w:t>
            </w:r>
            <w:proofErr w:type="spellEnd"/>
          </w:p>
        </w:tc>
      </w:tr>
    </w:tbl>
    <w:p w:rsidR="009B54D6" w:rsidRDefault="009B54D6" w:rsidP="009B54D6">
      <w:pPr>
        <w:pStyle w:val="ConsPlusNormal"/>
        <w:pageBreakBefore/>
        <w:jc w:val="righ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к распоряжению</w:t>
      </w:r>
    </w:p>
    <w:p w:rsidR="009B54D6" w:rsidRDefault="009B54D6" w:rsidP="009B54D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Администрации Спас</w:t>
      </w:r>
      <w:r>
        <w:rPr>
          <w:rFonts w:ascii="Times New Roman" w:hAnsi="Times New Roman"/>
          <w:szCs w:val="22"/>
        </w:rPr>
        <w:t>ского поселения</w:t>
      </w:r>
    </w:p>
    <w:p w:rsidR="009B54D6" w:rsidRDefault="009B54D6" w:rsidP="009B54D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05.11</w:t>
      </w:r>
      <w:r w:rsidR="00050CD9">
        <w:rPr>
          <w:rFonts w:ascii="Times New Roman" w:hAnsi="Times New Roman"/>
          <w:szCs w:val="22"/>
        </w:rPr>
        <w:t>.2019  № 144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23"/>
        </w:rPr>
      </w:pPr>
    </w:p>
    <w:p w:rsidR="009B54D6" w:rsidRDefault="009B54D6" w:rsidP="009B54D6">
      <w:pPr>
        <w:pStyle w:val="ConsPlusNormal"/>
        <w:jc w:val="center"/>
        <w:rPr>
          <w:rFonts w:ascii="Times New Roman" w:hAnsi="Times New Roman"/>
          <w:sz w:val="23"/>
        </w:rPr>
      </w:pPr>
    </w:p>
    <w:p w:rsidR="009B54D6" w:rsidRDefault="009B54D6" w:rsidP="009B54D6">
      <w:pPr>
        <w:pStyle w:val="ConsPlusNormal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 мероприятий (план-график)</w:t>
      </w:r>
    </w:p>
    <w:p w:rsidR="009B54D6" w:rsidRDefault="00050CD9" w:rsidP="009B54D6">
      <w:pPr>
        <w:pStyle w:val="ConsPlusNormal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перехода Администрации Спас</w:t>
      </w:r>
      <w:r w:rsidR="009B54D6">
        <w:rPr>
          <w:rFonts w:ascii="Times New Roman" w:hAnsi="Times New Roman"/>
          <w:sz w:val="23"/>
        </w:rPr>
        <w:t>ского сельского поселения  на использование отечественного офисного программного обеспечения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16"/>
        </w:rPr>
      </w:pPr>
    </w:p>
    <w:p w:rsidR="009B54D6" w:rsidRDefault="009B54D6" w:rsidP="009B54D6">
      <w:pPr>
        <w:pStyle w:val="ConsPlusNormal"/>
        <w:jc w:val="center"/>
        <w:outlineLvl w:val="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Таблица 1. План мероприятий по организац</w:t>
      </w:r>
      <w:r w:rsidR="00050CD9">
        <w:rPr>
          <w:rFonts w:ascii="Times New Roman" w:hAnsi="Times New Roman"/>
          <w:sz w:val="23"/>
        </w:rPr>
        <w:t>ии перехода Администрации Спас</w:t>
      </w:r>
      <w:r>
        <w:rPr>
          <w:rFonts w:ascii="Times New Roman" w:hAnsi="Times New Roman"/>
          <w:sz w:val="23"/>
        </w:rPr>
        <w:t>ского сельского поселения на использование отечественного офисного программного обеспечения на период до 2020 года.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383"/>
        <w:gridCol w:w="1414"/>
        <w:gridCol w:w="3176"/>
      </w:tblGrid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3"/>
              </w:rPr>
              <w:t>п.п</w:t>
            </w:r>
            <w:proofErr w:type="spellEnd"/>
            <w:r>
              <w:rPr>
                <w:rFonts w:ascii="Times New Roman" w:hAnsi="Times New Roman"/>
                <w:sz w:val="23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Срок выполнения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Ожидаемый результат</w:t>
            </w:r>
          </w:p>
        </w:tc>
      </w:tr>
      <w:tr w:rsidR="009B54D6" w:rsidTr="009B54D6"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outlineLvl w:val="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 Мероприятия, направленные на подготовку к переходу органов местного самоуправления муниципального образования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Проведение корректировки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отечественного офисного программного обеспечения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4-й квартал 2019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Провести корректировку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отечественного офисного программного обеспечения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Формирование перечня мероприятий, направленных на модернизацию прикладного программного обеспечения информационных систем, а также при необходимости модернизации вычислительной и периферийной инфраструктуры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4-й квартал 2019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Сформирован перечень мероприятий, направленных на модернизацию прикладного программного обеспечения информационных систем, а также при необходимости модернизации вычислительной и периферийной инфраструктуры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Актуализация распорядительных документов (инструкций, административных регламентов оказания услуг и т.д.), направленных на снятие ограничения использования отечественного программного обеспечения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Актуализированы распорядительные документы (инструкции, административные регламенты оказания услуг и т.д.) в соответствии с нормативными правовыми актами, исключающие ограничения использования отечественного офисного программного обеспечения, в </w:t>
            </w:r>
            <w:r>
              <w:rPr>
                <w:rFonts w:ascii="Times New Roman" w:hAnsi="Times New Roman"/>
                <w:sz w:val="23"/>
              </w:rPr>
              <w:lastRenderedPageBreak/>
              <w:t>том числе при предоставлении государственных услуг населению и исполнении своих функций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8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outlineLvl w:val="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Модернизация технологической инфраструктуры (персональные электронные вычислительные машины, мобильные устройства, серверное и телекоммуникационное оборудование, иные средства вычислительной техники и периферийные устройства) в 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2019 - 2020 годы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Технологическая инфраструктура адаптирована с учетом требований обеспечения совместимости с отечественным офисным программным обеспечением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</w:tr>
      <w:tr w:rsidR="009B54D6" w:rsidTr="009B54D6"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outlineLvl w:val="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 Мероприятия, направленные на обеспечение </w:t>
            </w:r>
            <w:proofErr w:type="gramStart"/>
            <w:r>
              <w:rPr>
                <w:rFonts w:ascii="Times New Roman" w:hAnsi="Times New Roman"/>
                <w:sz w:val="23"/>
              </w:rPr>
              <w:t>перехода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9B54D6" w:rsidTr="009B54D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Обеспечение защиты информации, содержащейся в государственных информационных системах и информационных системах, содержащих персональные данные, а также обеспечение информационной безопасности с использованием отечественного офисного программного обеспечения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2019 - 2020 годы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Обеспечена защита информации, содержащаяся в государственных информационных системах и информационных системах, содержащих персональные данные, а также обеспечена информационной безопасностью с использованием отечественного офисного программного обеспечения</w:t>
            </w:r>
          </w:p>
        </w:tc>
      </w:tr>
    </w:tbl>
    <w:p w:rsidR="009B54D6" w:rsidRDefault="009B54D6" w:rsidP="009B54D6">
      <w:pPr>
        <w:pStyle w:val="ConsPlusNormal"/>
        <w:jc w:val="both"/>
        <w:outlineLvl w:val="2"/>
        <w:rPr>
          <w:rFonts w:ascii="Times New Roman" w:hAnsi="Times New Roman"/>
          <w:sz w:val="23"/>
        </w:rPr>
      </w:pPr>
    </w:p>
    <w:p w:rsidR="009B54D6" w:rsidRDefault="009B54D6" w:rsidP="009B54D6">
      <w:pPr>
        <w:pStyle w:val="ConsPlusNormal"/>
        <w:jc w:val="center"/>
        <w:outlineLvl w:val="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Таблица 2. План-граф</w:t>
      </w:r>
      <w:r w:rsidR="006A2D9A">
        <w:rPr>
          <w:rFonts w:ascii="Times New Roman" w:hAnsi="Times New Roman"/>
          <w:sz w:val="23"/>
        </w:rPr>
        <w:t>ик перехода Администрации Спас</w:t>
      </w:r>
      <w:r>
        <w:rPr>
          <w:rFonts w:ascii="Times New Roman" w:hAnsi="Times New Roman"/>
          <w:sz w:val="23"/>
        </w:rPr>
        <w:t>ского сельского поселения на использование отечественного офисного программного обеспечения</w:t>
      </w:r>
    </w:p>
    <w:p w:rsidR="009B54D6" w:rsidRDefault="009B54D6" w:rsidP="009B54D6">
      <w:pPr>
        <w:pStyle w:val="ConsPlusNormal"/>
        <w:jc w:val="both"/>
        <w:outlineLvl w:val="2"/>
        <w:rPr>
          <w:rFonts w:ascii="Times New Roman" w:hAnsi="Times New Roman"/>
          <w:sz w:val="23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2014"/>
        <w:gridCol w:w="2960"/>
        <w:gridCol w:w="1379"/>
        <w:gridCol w:w="1379"/>
        <w:gridCol w:w="1379"/>
      </w:tblGrid>
      <w:tr w:rsidR="009B54D6" w:rsidTr="009B54D6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</w:tr>
      <w:tr w:rsidR="009B54D6" w:rsidTr="009B5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spacing w:after="0" w:line="240" w:lineRule="auto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spacing w:after="0" w:line="240" w:lineRule="auto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spacing w:after="0" w:line="240" w:lineRule="auto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Индикатор эффективности перехода на использование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отечественного офисного программного обеспечения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Индикатор эффективности перехода на использование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отечественного офисного программного обеспечения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Индикатор эффективности перехода на использование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отечественного офисного программного обеспечения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отечественного офисного программного обеспечения, используемого и предоставляемого пользователям,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15%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35%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60%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Операционные системы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widowControl w:val="0"/>
              <w:spacing w:after="0" w:line="240" w:lineRule="auto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szCs w:val="19"/>
              </w:rPr>
              <w:t>Доля отечественных операционных систем, установленных и используемых на автоматизированных рабочих местах пользователей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30%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50%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Почтовые приложения </w:t>
            </w:r>
            <w:hyperlink r:id="rId7" w:anchor="P433" w:history="1">
              <w:r>
                <w:rPr>
                  <w:rStyle w:val="a3"/>
                  <w:rFonts w:ascii="Times New Roman" w:hAnsi="Times New Roman"/>
                  <w:sz w:val="19"/>
                  <w:szCs w:val="19"/>
                </w:rPr>
                <w:t>&lt;1&gt;</w:t>
              </w:r>
            </w:hyperlink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пользователей, использующих отечественные почтовые приложения, от общего числа пользователей,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15%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35%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60%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Справочно-правовая система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пользователей, использующих отечественную справочно-правовую систему, от общего числа пользователей,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пользователей, использующих отечественное программное обеспечение системы электронного документооборота, от общего числа пользователей,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30%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60%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антивирусной защиты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отечественных средств антивирусной защиты, установленных и используемых на автоматизированных рабочих местах пользователя, от общего объема используемых средств антивирусной защиты, %</w:t>
            </w:r>
          </w:p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50%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100%</w:t>
            </w:r>
          </w:p>
        </w:tc>
      </w:tr>
      <w:tr w:rsidR="009B54D6" w:rsidTr="009B54D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Интернет-браузеры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пользователей, использующих отечественные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Интернет-браузеры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, от общего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числа пользователей, 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не менее 10%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30%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D6" w:rsidRDefault="009B54D6">
            <w:pPr>
              <w:pStyle w:val="ConsPlusNormal"/>
              <w:spacing w:line="26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 менее 50%</w:t>
            </w:r>
          </w:p>
        </w:tc>
      </w:tr>
    </w:tbl>
    <w:p w:rsidR="009B54D6" w:rsidRDefault="009B54D6" w:rsidP="009B54D6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9B54D6" w:rsidRDefault="009B54D6" w:rsidP="009B54D6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9B54D6" w:rsidRDefault="009B54D6" w:rsidP="009B54D6">
      <w:pPr>
        <w:pStyle w:val="ConsPlusNormal"/>
        <w:ind w:firstLine="539"/>
        <w:jc w:val="both"/>
        <w:rPr>
          <w:rFonts w:ascii="Times New Roman" w:hAnsi="Times New Roman"/>
          <w:sz w:val="20"/>
        </w:rPr>
      </w:pPr>
      <w:bookmarkStart w:id="1" w:name="P433"/>
      <w:bookmarkEnd w:id="1"/>
      <w:r>
        <w:rPr>
          <w:rFonts w:ascii="Times New Roman" w:hAnsi="Times New Roman"/>
          <w:sz w:val="20"/>
        </w:rPr>
        <w:t>&lt;1&gt; Почтовые приложения могут входить в состав офисного пакета.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Примечание:</w:t>
      </w:r>
    </w:p>
    <w:p w:rsidR="009B54D6" w:rsidRDefault="009B54D6" w:rsidP="009B54D6">
      <w:pPr>
        <w:pStyle w:val="ConsPlusNormal"/>
        <w:spacing w:before="220"/>
        <w:ind w:firstLine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Индикатор эффективности перехода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рассчитывается как средневзвешенный показатель </w:t>
      </w:r>
      <w:proofErr w:type="gramStart"/>
      <w:r>
        <w:rPr>
          <w:rFonts w:ascii="Times New Roman" w:hAnsi="Times New Roman"/>
          <w:szCs w:val="22"/>
        </w:rPr>
        <w:t>перехода органов местного самоуправления муниципального образования Российской Федерации</w:t>
      </w:r>
      <w:proofErr w:type="gramEnd"/>
      <w:r>
        <w:rPr>
          <w:rFonts w:ascii="Times New Roman" w:hAnsi="Times New Roman"/>
          <w:szCs w:val="22"/>
        </w:rPr>
        <w:t xml:space="preserve"> по соответствующей категории (типу) отечественного офисного программного обеспечения за соответствующий плановый период и рассчитывается по формуле: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ПЭП</w:t>
      </w:r>
      <w:r>
        <w:rPr>
          <w:rFonts w:ascii="Times New Roman" w:hAnsi="Times New Roman"/>
          <w:szCs w:val="22"/>
          <w:vertAlign w:val="subscript"/>
        </w:rPr>
        <w:t>ру</w:t>
      </w:r>
      <w:proofErr w:type="spellEnd"/>
      <w:r>
        <w:rPr>
          <w:rFonts w:ascii="Times New Roman" w:hAnsi="Times New Roman"/>
          <w:szCs w:val="22"/>
        </w:rPr>
        <w:t xml:space="preserve"> = (ПЭП</w:t>
      </w:r>
      <w:r>
        <w:rPr>
          <w:rFonts w:ascii="Times New Roman" w:hAnsi="Times New Roman"/>
          <w:szCs w:val="22"/>
          <w:vertAlign w:val="subscript"/>
        </w:rPr>
        <w:t>gx1</w:t>
      </w:r>
      <w:r>
        <w:rPr>
          <w:rFonts w:ascii="Times New Roman" w:hAnsi="Times New Roman"/>
          <w:szCs w:val="22"/>
        </w:rPr>
        <w:t xml:space="preserve"> + ПЭП</w:t>
      </w:r>
      <w:r>
        <w:rPr>
          <w:rFonts w:ascii="Times New Roman" w:hAnsi="Times New Roman"/>
          <w:szCs w:val="22"/>
          <w:vertAlign w:val="subscript"/>
        </w:rPr>
        <w:t>gx2</w:t>
      </w:r>
      <w:r>
        <w:rPr>
          <w:rFonts w:ascii="Times New Roman" w:hAnsi="Times New Roman"/>
          <w:szCs w:val="22"/>
        </w:rPr>
        <w:t xml:space="preserve"> + ПЭП</w:t>
      </w:r>
      <w:r>
        <w:rPr>
          <w:rFonts w:ascii="Times New Roman" w:hAnsi="Times New Roman"/>
          <w:szCs w:val="22"/>
          <w:vertAlign w:val="subscript"/>
        </w:rPr>
        <w:t>gx3</w:t>
      </w:r>
      <w:r>
        <w:rPr>
          <w:rFonts w:ascii="Times New Roman" w:hAnsi="Times New Roman"/>
          <w:szCs w:val="22"/>
        </w:rPr>
        <w:t xml:space="preserve"> + ПЭП</w:t>
      </w:r>
      <w:r>
        <w:rPr>
          <w:rFonts w:ascii="Times New Roman" w:hAnsi="Times New Roman"/>
          <w:szCs w:val="22"/>
          <w:vertAlign w:val="subscript"/>
        </w:rPr>
        <w:t>gx4</w:t>
      </w:r>
      <w:r>
        <w:rPr>
          <w:rFonts w:ascii="Times New Roman" w:hAnsi="Times New Roman"/>
          <w:szCs w:val="22"/>
        </w:rPr>
        <w:t xml:space="preserve"> + </w:t>
      </w:r>
      <w:proofErr w:type="spellStart"/>
      <w:r>
        <w:rPr>
          <w:rFonts w:ascii="Times New Roman" w:hAnsi="Times New Roman"/>
          <w:szCs w:val="22"/>
        </w:rPr>
        <w:t>ПЭП</w:t>
      </w:r>
      <w:proofErr w:type="gramStart"/>
      <w:r>
        <w:rPr>
          <w:rFonts w:ascii="Times New Roman" w:hAnsi="Times New Roman"/>
          <w:szCs w:val="22"/>
          <w:vertAlign w:val="subscript"/>
        </w:rPr>
        <w:t>gxn</w:t>
      </w:r>
      <w:proofErr w:type="spellEnd"/>
      <w:proofErr w:type="gramEnd"/>
      <w:r>
        <w:rPr>
          <w:rFonts w:ascii="Times New Roman" w:hAnsi="Times New Roman"/>
          <w:szCs w:val="22"/>
        </w:rPr>
        <w:t>) / N, где:</w:t>
      </w: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</w:p>
    <w:p w:rsidR="009B54D6" w:rsidRDefault="009B54D6" w:rsidP="009B54D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ПЭП</w:t>
      </w:r>
      <w:r>
        <w:rPr>
          <w:rFonts w:ascii="Times New Roman" w:hAnsi="Times New Roman"/>
          <w:szCs w:val="22"/>
          <w:vertAlign w:val="subscript"/>
        </w:rPr>
        <w:t>ру</w:t>
      </w:r>
      <w:proofErr w:type="spellEnd"/>
      <w:r>
        <w:rPr>
          <w:rFonts w:ascii="Times New Roman" w:hAnsi="Times New Roman"/>
          <w:szCs w:val="22"/>
        </w:rPr>
        <w:t xml:space="preserve"> - показатель </w:t>
      </w:r>
      <w:proofErr w:type="gramStart"/>
      <w:r>
        <w:rPr>
          <w:rFonts w:ascii="Times New Roman" w:hAnsi="Times New Roman"/>
          <w:szCs w:val="22"/>
        </w:rPr>
        <w:t>перехода органов местного самоуправления муниципального образования Российской Федерации</w:t>
      </w:r>
      <w:proofErr w:type="gramEnd"/>
      <w:r>
        <w:rPr>
          <w:rFonts w:ascii="Times New Roman" w:hAnsi="Times New Roman"/>
          <w:szCs w:val="22"/>
        </w:rPr>
        <w:t xml:space="preserve">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за соответствующий плановый период:</w:t>
      </w:r>
    </w:p>
    <w:p w:rsidR="009B54D6" w:rsidRDefault="009B54D6" w:rsidP="009B54D6">
      <w:pPr>
        <w:pStyle w:val="ConsPlusNormal"/>
        <w:spacing w:before="220"/>
        <w:ind w:firstLine="540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ПЭП</w:t>
      </w:r>
      <w:proofErr w:type="gramStart"/>
      <w:r>
        <w:rPr>
          <w:rFonts w:ascii="Times New Roman" w:hAnsi="Times New Roman"/>
          <w:szCs w:val="22"/>
          <w:vertAlign w:val="subscript"/>
        </w:rPr>
        <w:t>gxn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- показатель перехода отдельного органа местного самоуправления муниципального образования Российской Федерации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за соответствующий плановый период:</w:t>
      </w:r>
    </w:p>
    <w:p w:rsidR="009B54D6" w:rsidRDefault="009B54D6" w:rsidP="009B54D6">
      <w:pPr>
        <w:pStyle w:val="ConsPlusNormal"/>
        <w:spacing w:before="220"/>
        <w:ind w:firstLine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 - общее количество </w:t>
      </w:r>
      <w:proofErr w:type="gramStart"/>
      <w:r>
        <w:rPr>
          <w:rFonts w:ascii="Times New Roman" w:hAnsi="Times New Roman"/>
          <w:szCs w:val="22"/>
        </w:rPr>
        <w:t>органов исполнительной власти органов местного самоуправления муниципального образования Российской</w:t>
      </w:r>
      <w:proofErr w:type="gramEnd"/>
      <w:r>
        <w:rPr>
          <w:rFonts w:ascii="Times New Roman" w:hAnsi="Times New Roman"/>
          <w:szCs w:val="22"/>
        </w:rPr>
        <w:t xml:space="preserve"> Федерации, осуществляющих переход на использование отечественного офисного программного обеспечения.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E"/>
    <w:rsid w:val="00050CD9"/>
    <w:rsid w:val="003A1A38"/>
    <w:rsid w:val="0062392B"/>
    <w:rsid w:val="006A2D9A"/>
    <w:rsid w:val="00751C53"/>
    <w:rsid w:val="008D673E"/>
    <w:rsid w:val="009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6"/>
    <w:pPr>
      <w:spacing w:after="160"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D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9B54D6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table" w:customStyle="1" w:styleId="1">
    <w:name w:val="Сетка таблицы1"/>
    <w:basedOn w:val="a1"/>
    <w:rsid w:val="009B54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B5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6"/>
    <w:pPr>
      <w:spacing w:after="160"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D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9B54D6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table" w:customStyle="1" w:styleId="1">
    <w:name w:val="Сетка таблицы1"/>
    <w:basedOn w:val="a1"/>
    <w:rsid w:val="009B54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B5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7zO8A1B909B\&#1084;&#1080;&#1088;&#1085;&#1099;&#1081;_N%2053%20&#1086;&#1090;%2030.10.2019%20&#1086;&#1073;%20&#1091;&#1090;&#1074;&#1077;&#1088;&#1078;&#1076;&#1077;&#1085;&#1080;&#1080;%20&#1087;&#1083;&#1072;&#1085;&#1072;%20&#1087;&#1077;&#1088;&#1077;&#1093;&#1086;&#1076;&#1072;%20&#1085;&#1072;%20&#1086;&#1090;&#1077;&#1095;&#1077;&#1089;&#1090;&#1074;&#1077;&#1085;&#1085;&#1086;&#1077;%20&#1086;&#1092;&#1080;&#1089;&#1085;&#1086;&#1077;%20&#1087;&#1088;&#1086;&#1075;&#1088;&#1072;&#1084;&#1084;&#1085;&#1086;&#1077;%20&#1086;&#1073;&#1077;&#1089;&#1087;&#1077;&#1095;&#1077;&#1085;&#1080;&#1077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A1B909B\&#1084;&#1080;&#1088;&#1085;&#1099;&#1081;_N%2053%20&#1086;&#1090;%2030.10.2019%20&#1086;&#1073;%20&#1091;&#1090;&#1074;&#1077;&#1088;&#1078;&#1076;&#1077;&#1085;&#1080;&#1080;%20&#1087;&#1083;&#1072;&#1085;&#1072;%20&#1087;&#1077;&#1088;&#1077;&#1093;&#1086;&#1076;&#1072;%20&#1085;&#1072;%20&#1086;&#1090;&#1077;&#1095;&#1077;&#1089;&#1090;&#1074;&#1077;&#1085;&#1085;&#1086;&#1077;%20&#1086;&#1092;&#1080;&#1089;&#1085;&#1086;&#1077;%20&#1087;&#1088;&#1086;&#1075;&#1088;&#1072;&#1084;&#1084;&#1085;&#1086;&#1077;%20&#1086;&#1073;&#1077;&#1089;&#1087;&#1077;&#1095;&#1077;&#1085;&#1080;&#1077;%20(1).docx" TargetMode="External"/><Relationship Id="rId5" Type="http://schemas.openxmlformats.org/officeDocument/2006/relationships/hyperlink" Target="consultantplus://offline/ref=348AD56FC2FDD3839D467827AD4E1BDB249C551A3BF967604B08327086F6DBE05879F365391A2ADBC825FACD4Bt9I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2019-11-05T09:35:00Z</dcterms:created>
  <dcterms:modified xsi:type="dcterms:W3CDTF">2019-11-05T09:48:00Z</dcterms:modified>
</cp:coreProperties>
</file>